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Préparer une soumission</w:t>
      </w:r>
    </w:p>
    <w:p>
      <w:r>
        <w:t xml:space="preserve">Ce qu'Oditan a compris du travail de Léa, estimatrice. Seul le savoir relu est inclus. Exporté le 2026-10-28.</w:t>
      </w:r>
    </w:p>
    <w:p>
      <w:r>
        <w:t xml:space="preserve">Sert à : transformer une demande de client en soumission envoyée</w:t>
      </w:r>
    </w:p>
    <w:p>
      <w:r>
        <w:t xml:space="preserve">Commence quand : une demande arrive par courriel. Fini quand : la soumission est envoyée et suivie.</w:t>
      </w:r>
    </w:p>
    <w:p>
      <w:pPr>
        <w:pStyle w:val="Heading2"/>
      </w:pPr>
      <w:r>
        <w:t xml:space="preserve">Les étapes</w:t>
      </w:r>
    </w:p>
    <w:p>
      <w:pPr>
        <w:pStyle w:val="ListParagraph"/>
        <w:numPr>
          <w:ilvl w:val="0"/>
          <w:numId w:val="2"/>
        </w:numPr>
      </w:pPr>
      <w:r>
        <w:t xml:space="preserve">Léa lit la demande du client dans Outlook et note les essences et les quantités.</w:t>
      </w:r>
    </w:p>
    <w:p>
      <w:pPr>
        <w:pStyle w:val="ListParagraph"/>
      </w:pPr>
      <w:r>
        <w:rPr>
          <w:i/>
          <w:color w:val="6E5C50"/>
        </w:rPr>
        <w:t xml:space="preserve">Microsoft Outlook · chaque demande · 5 min par passage, mesuré sur 12 passages</w:t>
      </w:r>
    </w:p>
    <w:p>
      <w:pPr>
        <w:pStyle w:val="ListParagraph"/>
        <w:numPr>
          <w:ilvl w:val="1"/>
          <w:numId w:val="1"/>
        </w:numPr>
      </w:pPr>
      <w:r>
        <w:rPr>
          <w:b/>
        </w:rPr>
        <w:t xml:space="preserve">Demande incomplète</w:t>
      </w:r>
      <w:r>
        <w:t xml:space="preserve"> : Si la demande ne donne pas l'épaisseur, rappeler le client avant de calculer : sinon le prix sera faux.</w:t>
      </w:r>
    </w:p>
    <w:p>
      <w:pPr>
        <w:pStyle w:val="ListParagraph"/>
        <w:numPr>
          <w:ilvl w:val="0"/>
          <w:numId w:val="2"/>
        </w:numPr>
      </w:pPr>
      <w:r>
        <w:t xml:space="preserve">Léa calcule le prix dans Excel, avec le fichier Tarifs 2026.</w:t>
      </w:r>
    </w:p>
    <w:p>
      <w:pPr>
        <w:pStyle w:val="ListParagraph"/>
      </w:pPr>
      <w:r>
        <w:rPr>
          <w:i/>
          <w:color w:val="6E5C50"/>
        </w:rPr>
        <w:t xml:space="preserve">Microsoft Excel · chaque demande · 1 h 20 par passage, mesuré sur 12 passages</w:t>
      </w:r>
    </w:p>
    <w:p>
      <w:pPr>
        <w:pStyle w:val="ListParagraph"/>
        <w:numPr>
          <w:ilvl w:val="1"/>
          <w:numId w:val="1"/>
        </w:numPr>
      </w:pPr>
      <w:r>
        <w:rPr>
          <w:b/>
        </w:rPr>
        <w:t xml:space="preserve">Ce qui accroche</w:t>
      </w:r>
      <w:r>
        <w:t xml:space="preserve"> : Le calcul se refait à la main pour chaque essence de bois.</w:t>
      </w:r>
    </w:p>
    <w:p>
      <w:pPr>
        <w:pStyle w:val="ListParagraph"/>
        <w:numPr>
          <w:ilvl w:val="1"/>
          <w:numId w:val="1"/>
        </w:numPr>
      </w:pPr>
      <w:r>
        <w:rPr>
          <w:b/>
        </w:rPr>
        <w:t xml:space="preserve">Perte de bois</w:t>
      </w:r>
      <w:r>
        <w:t xml:space="preserve"> : Au-delà de 40 pi², ajouter 12 % pour la perte de bois.</w:t>
      </w:r>
    </w:p>
    <w:p>
      <w:pPr>
        <w:pStyle w:val="ListParagraph"/>
        <w:numPr>
          <w:ilvl w:val="1"/>
          <w:numId w:val="1"/>
        </w:numPr>
      </w:pPr>
      <w:r>
        <w:rPr>
          <w:b/>
        </w:rPr>
        <w:t xml:space="preserve">Tarifs à jour</w:t>
      </w:r>
      <w:r>
        <w:t xml:space="preserve"> : Les tarifs à jour sont dans l'onglet « Érable » du fichier Tarifs 2026.</w:t>
      </w:r>
    </w:p>
    <w:p>
      <w:pPr>
        <w:pStyle w:val="ListParagraph"/>
        <w:numPr>
          <w:ilvl w:val="0"/>
          <w:numId w:val="2"/>
        </w:numPr>
      </w:pPr>
      <w:r>
        <w:t xml:space="preserve">Léa recopie le total d'Excel dans Acomba pour créer la soumission.</w:t>
      </w:r>
    </w:p>
    <w:p>
      <w:pPr>
        <w:pStyle w:val="ListParagraph"/>
      </w:pPr>
      <w:r>
        <w:rPr>
          <w:i/>
          <w:color w:val="6E5C50"/>
        </w:rPr>
        <w:t xml:space="preserve">Acomba · 15 min par passage, mesuré sur 12 passages</w:t>
      </w:r>
    </w:p>
    <w:p>
      <w:pPr>
        <w:pStyle w:val="ListParagraph"/>
        <w:numPr>
          <w:ilvl w:val="1"/>
          <w:numId w:val="1"/>
        </w:numPr>
      </w:pPr>
      <w:r>
        <w:rPr>
          <w:b/>
        </w:rPr>
        <w:t xml:space="preserve">Ce qui accroche</w:t>
      </w:r>
      <w:r>
        <w:t xml:space="preserve"> : Le même total est saisi deux fois, dans Excel puis dans Acomba.</w:t>
      </w:r>
    </w:p>
    <w:p>
      <w:pPr>
        <w:pStyle w:val="ListParagraph"/>
        <w:numPr>
          <w:ilvl w:val="1"/>
          <w:numId w:val="1"/>
        </w:numPr>
      </w:pPr>
      <w:r>
        <w:rPr>
          <w:b/>
        </w:rPr>
        <w:t xml:space="preserve">Numéro de client</w:t>
      </w:r>
      <w:r>
        <w:t xml:space="preserve"> : Copier le numéro de client depuis le courriel d'origine évite les doublons dans Acomba.</w:t>
      </w:r>
    </w:p>
    <w:p>
      <w:pPr>
        <w:pStyle w:val="ListParagraph"/>
        <w:numPr>
          <w:ilvl w:val="0"/>
          <w:numId w:val="2"/>
        </w:numPr>
      </w:pPr>
      <w:r>
        <w:t xml:space="preserve">Décision : Paul approuve si le montant dépasse 5 000 $.</w:t>
      </w:r>
    </w:p>
    <w:p>
      <w:pPr>
        <w:pStyle w:val="ListParagraph"/>
      </w:pPr>
      <w:r>
        <w:rPr>
          <w:i/>
          <w:color w:val="6E5C50"/>
        </w:rPr>
        <w:t xml:space="preserve">Microsoft Outlook</w:t>
      </w:r>
    </w:p>
    <w:p>
      <w:pPr>
        <w:pStyle w:val="ListParagraph"/>
        <w:numPr>
          <w:ilvl w:val="1"/>
          <w:numId w:val="1"/>
        </w:numPr>
      </w:pPr>
      <w:r>
        <w:rPr>
          <w:b/>
        </w:rPr>
        <w:t xml:space="preserve">Clients réguliers</w:t>
      </w:r>
      <w:r>
        <w:t xml:space="preserve"> : Les clients réguliers passent sans approbation, même au-delà de 5 000 $.</w:t>
      </w:r>
    </w:p>
    <w:p>
      <w:pPr>
        <w:pStyle w:val="ListParagraph"/>
        <w:numPr>
          <w:ilvl w:val="0"/>
          <w:numId w:val="2"/>
        </w:numPr>
      </w:pPr>
      <w:r>
        <w:t xml:space="preserve">Léa envoie la soumission au client en PDF.</w:t>
      </w:r>
    </w:p>
    <w:p>
      <w:pPr>
        <w:pStyle w:val="ListParagraph"/>
      </w:pPr>
      <w:r>
        <w:rPr>
          <w:i/>
          <w:color w:val="6E5C50"/>
        </w:rPr>
        <w:t xml:space="preserve">Microsoft Outlook · 4 min par passage, mesuré sur 12 passages</w:t>
      </w:r>
    </w:p>
    <w:p>
      <w:pPr>
        <w:pStyle w:val="Heading2"/>
      </w:pPr>
      <w:r>
        <w:t xml:space="preserve">À confirmer</w:t>
      </w:r>
    </w:p>
    <w:p>
      <w:pPr>
        <w:pStyle w:val="ListParagraph"/>
        <w:numPr>
          <w:ilvl w:val="0"/>
          <w:numId w:val="1"/>
        </w:numPr>
      </w:pPr>
      <w:r>
        <w:t xml:space="preserve">Comment la soumission est-elle suivie après l'envoi ?</w:t>
      </w:r>
    </w:p>
    <w:p>
      <w:pPr>
        <w:pStyle w:val="Heading2"/>
      </w:pPr>
      <w:r>
        <w:t xml:space="preserve">Qui appeler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Le merisier</w:t>
      </w:r>
      <w:r>
        <w:t xml:space="preserve"> : Pour le prix du merisier, appeler Marc, chez le fournisseur : sa liste change chaque mois.</w:t>
      </w:r>
    </w:p>
    <w:sectPr>
      <w:pgSz w:w="12240" w:h="15840"/>
      <w:pgMar w:top="1440" w:right="1440" w:bottom="1440" w:left="1440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</w:abstractNum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fr-C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sz w:val="36"/>
    </w:rPr>
  </w:style>
  <w:style w:type="paragraph" w:styleId="Heading2">
    <w:name w:val="heading 2"/>
    <w:basedOn w:val="Normal"/>
    <w:next w:val="Normal"/>
    <w:qFormat/>
    <w:pPr>
      <w:keepNext/>
      <w:spacing w:before="320" w:after="80"/>
      <w:outlineLvl w:val="1"/>
    </w:pPr>
    <w:rPr>
      <w:b/>
      <w:sz w:val="28"/>
    </w:rPr>
  </w:style>
  <w:style w:type="paragraph" w:styleId="ListParagraph">
    <w:name w:val="List Paragraph"/>
    <w:basedOn w:val="Normal"/>
    <w:next w:val="Normal"/>
    <w:qFormat/>
    <w:pPr>
      <w:spacing w:after="60"/>
      <w:ind w:left="720"/>
    </w:pPr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>
  <dc:title>Préparer une soumission</dc:title>
  <dc:creator>Oditan</dc:creator>
  <dc:language>fr-CA</dc:language>
</cp:coreProperties>
</file>